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686F6">
      <w:pPr>
        <w:snapToGrid w:val="0"/>
        <w:spacing w:line="360" w:lineRule="auto"/>
        <w:ind w:firstLine="630" w:firstLineChars="196"/>
        <w:rPr>
          <w:rFonts w:ascii="宋体" w:hAnsi="宋体" w:eastAsia="宋体"/>
          <w:b/>
          <w:sz w:val="32"/>
          <w:szCs w:val="32"/>
        </w:rPr>
      </w:pPr>
    </w:p>
    <w:p w14:paraId="1B526BA0">
      <w:pPr>
        <w:snapToGrid w:val="0"/>
        <w:spacing w:line="360" w:lineRule="auto"/>
        <w:rPr>
          <w:rFonts w:ascii="仿宋" w:hAnsi="仿宋" w:eastAsia="仿宋"/>
          <w:b/>
          <w:szCs w:val="28"/>
        </w:rPr>
      </w:pPr>
      <w:r>
        <w:rPr>
          <w:rFonts w:hint="eastAsia" w:ascii="仿宋" w:hAnsi="仿宋" w:eastAsia="仿宋"/>
          <w:b/>
          <w:szCs w:val="28"/>
        </w:rPr>
        <w:t>附表1</w:t>
      </w:r>
    </w:p>
    <w:p w14:paraId="159842BA">
      <w:pPr>
        <w:snapToGrid w:val="0"/>
        <w:spacing w:line="36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color w:val="FF0000"/>
          <w:sz w:val="32"/>
          <w:szCs w:val="32"/>
        </w:rPr>
        <w:t>协会</w:t>
      </w:r>
      <w:r>
        <w:rPr>
          <w:rFonts w:hint="eastAsia" w:ascii="宋体" w:hAnsi="宋体" w:eastAsia="宋体"/>
          <w:b/>
          <w:sz w:val="32"/>
          <w:szCs w:val="32"/>
        </w:rPr>
        <w:t>标准项目建议书</w:t>
      </w:r>
    </w:p>
    <w:tbl>
      <w:tblPr>
        <w:tblStyle w:val="7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7"/>
        <w:gridCol w:w="1078"/>
        <w:gridCol w:w="540"/>
        <w:gridCol w:w="540"/>
        <w:gridCol w:w="928"/>
        <w:gridCol w:w="886"/>
        <w:gridCol w:w="957"/>
        <w:gridCol w:w="744"/>
        <w:gridCol w:w="1900"/>
      </w:tblGrid>
      <w:tr w14:paraId="5BE2A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2167" w:type="dxa"/>
            <w:vAlign w:val="center"/>
          </w:tcPr>
          <w:p w14:paraId="7B3DED9C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建议项目名称</w:t>
            </w:r>
          </w:p>
          <w:p w14:paraId="33C8158A">
            <w:pPr>
              <w:snapToGrid w:val="0"/>
              <w:spacing w:line="360" w:lineRule="auto"/>
              <w:ind w:left="-5" w:leftChars="-6" w:hanging="12" w:hangingChars="7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中文</w:t>
            </w:r>
            <w:r>
              <w:rPr>
                <w:rFonts w:ascii="宋体" w:hAnsi="宋体" w:eastAsia="宋体"/>
                <w:sz w:val="18"/>
                <w:szCs w:val="18"/>
              </w:rPr>
              <w:t>)</w:t>
            </w:r>
          </w:p>
        </w:tc>
        <w:tc>
          <w:tcPr>
            <w:tcW w:w="3086" w:type="dxa"/>
            <w:gridSpan w:val="4"/>
            <w:vAlign w:val="center"/>
          </w:tcPr>
          <w:p w14:paraId="3A66C52F">
            <w:pPr>
              <w:snapToGrid w:val="0"/>
              <w:spacing w:line="360" w:lineRule="auto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好材料选材细则 墙面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用装饰涂料</w:t>
            </w:r>
          </w:p>
        </w:tc>
        <w:tc>
          <w:tcPr>
            <w:tcW w:w="1843" w:type="dxa"/>
            <w:gridSpan w:val="2"/>
            <w:vAlign w:val="center"/>
          </w:tcPr>
          <w:p w14:paraId="299E92B1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建议项目名称</w:t>
            </w:r>
          </w:p>
          <w:p w14:paraId="3C1BBF49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(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英文</w:t>
            </w:r>
            <w:r>
              <w:rPr>
                <w:rFonts w:ascii="宋体" w:hAnsi="宋体" w:eastAsia="宋体"/>
                <w:sz w:val="18"/>
                <w:szCs w:val="18"/>
              </w:rPr>
              <w:t>)</w:t>
            </w:r>
          </w:p>
        </w:tc>
        <w:tc>
          <w:tcPr>
            <w:tcW w:w="2644" w:type="dxa"/>
            <w:gridSpan w:val="2"/>
            <w:vAlign w:val="center"/>
          </w:tcPr>
          <w:p w14:paraId="2E70E175"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 xml:space="preserve">Selection criteria for good materials: Decorative 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coating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s for walls</w:t>
            </w:r>
          </w:p>
        </w:tc>
      </w:tr>
      <w:tr w14:paraId="7FEAB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2167" w:type="dxa"/>
            <w:vAlign w:val="center"/>
          </w:tcPr>
          <w:p w14:paraId="01F3B627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制定或修订</w:t>
            </w:r>
          </w:p>
        </w:tc>
        <w:tc>
          <w:tcPr>
            <w:tcW w:w="1618" w:type="dxa"/>
            <w:gridSpan w:val="2"/>
            <w:vAlign w:val="center"/>
          </w:tcPr>
          <w:p w14:paraId="4F0AD6E4"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宋体" w:hAnsi="宋体" w:eastAsia="宋体"/>
                <w:sz w:val="18"/>
                <w:szCs w:val="18"/>
              </w:rPr>
              <w:t xml:space="preserve"> 制定</w:t>
            </w:r>
          </w:p>
        </w:tc>
        <w:tc>
          <w:tcPr>
            <w:tcW w:w="1468" w:type="dxa"/>
            <w:gridSpan w:val="2"/>
            <w:vAlign w:val="center"/>
          </w:tcPr>
          <w:p w14:paraId="7693BC2D"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□ 修订</w:t>
            </w:r>
          </w:p>
        </w:tc>
        <w:tc>
          <w:tcPr>
            <w:tcW w:w="1843" w:type="dxa"/>
            <w:gridSpan w:val="2"/>
            <w:vAlign w:val="center"/>
          </w:tcPr>
          <w:p w14:paraId="2B8ECAB2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被修订标准号</w:t>
            </w:r>
          </w:p>
        </w:tc>
        <w:tc>
          <w:tcPr>
            <w:tcW w:w="2644" w:type="dxa"/>
            <w:gridSpan w:val="2"/>
            <w:vAlign w:val="center"/>
          </w:tcPr>
          <w:p w14:paraId="1695D9B2">
            <w:pPr>
              <w:snapToGrid w:val="0"/>
              <w:spacing w:line="360" w:lineRule="auto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/</w:t>
            </w:r>
          </w:p>
        </w:tc>
      </w:tr>
      <w:tr w14:paraId="60BB6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2167" w:type="dxa"/>
            <w:vAlign w:val="center"/>
          </w:tcPr>
          <w:p w14:paraId="5230C168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采用程度</w:t>
            </w:r>
          </w:p>
        </w:tc>
        <w:tc>
          <w:tcPr>
            <w:tcW w:w="1078" w:type="dxa"/>
            <w:vAlign w:val="center"/>
          </w:tcPr>
          <w:p w14:paraId="3F783A4F"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□ IDT</w:t>
            </w:r>
          </w:p>
        </w:tc>
        <w:tc>
          <w:tcPr>
            <w:tcW w:w="1080" w:type="dxa"/>
            <w:gridSpan w:val="2"/>
            <w:vAlign w:val="center"/>
          </w:tcPr>
          <w:p w14:paraId="53C5FCF1"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□ MOD</w:t>
            </w:r>
          </w:p>
        </w:tc>
        <w:tc>
          <w:tcPr>
            <w:tcW w:w="928" w:type="dxa"/>
            <w:vAlign w:val="center"/>
          </w:tcPr>
          <w:p w14:paraId="02C4A625"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□ NEQ</w:t>
            </w:r>
          </w:p>
        </w:tc>
        <w:tc>
          <w:tcPr>
            <w:tcW w:w="1843" w:type="dxa"/>
            <w:gridSpan w:val="2"/>
            <w:vAlign w:val="center"/>
          </w:tcPr>
          <w:p w14:paraId="052E639C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采标号</w:t>
            </w:r>
          </w:p>
        </w:tc>
        <w:tc>
          <w:tcPr>
            <w:tcW w:w="2644" w:type="dxa"/>
            <w:gridSpan w:val="2"/>
            <w:vAlign w:val="center"/>
          </w:tcPr>
          <w:p w14:paraId="3C3603A4">
            <w:pPr>
              <w:snapToGrid w:val="0"/>
              <w:spacing w:line="360" w:lineRule="auto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/</w:t>
            </w:r>
          </w:p>
        </w:tc>
      </w:tr>
      <w:tr w14:paraId="73A11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2167" w:type="dxa"/>
            <w:vAlign w:val="center"/>
          </w:tcPr>
          <w:p w14:paraId="1D6D0708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国际标准名称（中文）</w:t>
            </w:r>
          </w:p>
        </w:tc>
        <w:tc>
          <w:tcPr>
            <w:tcW w:w="3086" w:type="dxa"/>
            <w:gridSpan w:val="4"/>
            <w:vAlign w:val="center"/>
          </w:tcPr>
          <w:p w14:paraId="11170193"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AB42558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国际标准名称（英文）</w:t>
            </w:r>
          </w:p>
        </w:tc>
        <w:tc>
          <w:tcPr>
            <w:tcW w:w="2644" w:type="dxa"/>
            <w:gridSpan w:val="2"/>
            <w:vAlign w:val="center"/>
          </w:tcPr>
          <w:p w14:paraId="59EBA5A0"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 w14:paraId="045DA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2167" w:type="dxa"/>
            <w:vAlign w:val="center"/>
          </w:tcPr>
          <w:p w14:paraId="7BCE70BF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  <w:t>ICS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分类号</w:t>
            </w:r>
          </w:p>
        </w:tc>
        <w:tc>
          <w:tcPr>
            <w:tcW w:w="3086" w:type="dxa"/>
            <w:gridSpan w:val="4"/>
            <w:vAlign w:val="center"/>
          </w:tcPr>
          <w:p w14:paraId="3A57D82C"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91.100</w:t>
            </w:r>
          </w:p>
        </w:tc>
        <w:tc>
          <w:tcPr>
            <w:tcW w:w="1843" w:type="dxa"/>
            <w:gridSpan w:val="2"/>
            <w:vAlign w:val="center"/>
          </w:tcPr>
          <w:p w14:paraId="089A211D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中国标准分类号</w:t>
            </w:r>
          </w:p>
        </w:tc>
        <w:tc>
          <w:tcPr>
            <w:tcW w:w="2644" w:type="dxa"/>
            <w:gridSpan w:val="2"/>
            <w:vAlign w:val="center"/>
          </w:tcPr>
          <w:p w14:paraId="4D142586"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Q 10</w:t>
            </w:r>
          </w:p>
        </w:tc>
      </w:tr>
      <w:tr w14:paraId="3C1E1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2167" w:type="dxa"/>
            <w:vAlign w:val="center"/>
          </w:tcPr>
          <w:p w14:paraId="703AEE81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标准主要起草单位</w:t>
            </w:r>
          </w:p>
        </w:tc>
        <w:tc>
          <w:tcPr>
            <w:tcW w:w="3086" w:type="dxa"/>
            <w:gridSpan w:val="4"/>
            <w:vAlign w:val="center"/>
          </w:tcPr>
          <w:p w14:paraId="1F5DEFD9">
            <w:pPr>
              <w:snapToGrid w:val="0"/>
              <w:spacing w:line="360" w:lineRule="auto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中国建筑材料科学研究总院有限公司、兰舍硅藻新材料有限公司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三棵树涂料股份有限公司、山西玉竹新材料科技股份有限公司</w:t>
            </w:r>
          </w:p>
        </w:tc>
        <w:tc>
          <w:tcPr>
            <w:tcW w:w="1843" w:type="dxa"/>
            <w:gridSpan w:val="2"/>
            <w:vAlign w:val="center"/>
          </w:tcPr>
          <w:p w14:paraId="6BFC40DC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计划起止时间</w:t>
            </w:r>
          </w:p>
        </w:tc>
        <w:tc>
          <w:tcPr>
            <w:tcW w:w="2644" w:type="dxa"/>
            <w:gridSpan w:val="2"/>
            <w:vAlign w:val="center"/>
          </w:tcPr>
          <w:p w14:paraId="12252B6E">
            <w:pPr>
              <w:snapToGrid w:val="0"/>
              <w:spacing w:line="360" w:lineRule="auto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2026.3-2027.3</w:t>
            </w:r>
          </w:p>
        </w:tc>
      </w:tr>
      <w:tr w14:paraId="1A682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2167" w:type="dxa"/>
            <w:vAlign w:val="center"/>
          </w:tcPr>
          <w:p w14:paraId="2ED5D36E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目的</w:t>
            </w:r>
            <w:r>
              <w:rPr>
                <w:rFonts w:ascii="宋体" w:hAnsi="宋体" w:eastAsia="宋体"/>
                <w:sz w:val="18"/>
                <w:szCs w:val="18"/>
              </w:rPr>
              <w:t>﹑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意义或必</w:t>
            </w:r>
          </w:p>
          <w:p w14:paraId="58062EF5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要性</w:t>
            </w:r>
          </w:p>
        </w:tc>
        <w:tc>
          <w:tcPr>
            <w:tcW w:w="7573" w:type="dxa"/>
            <w:gridSpan w:val="8"/>
            <w:vAlign w:val="center"/>
          </w:tcPr>
          <w:p w14:paraId="58837E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0" w:firstLineChars="200"/>
              <w:textAlignment w:val="auto"/>
              <w:rPr>
                <w:rFonts w:ascii="宋体" w:hAnsi="宋体" w:eastAsia="宋体"/>
                <w:sz w:val="18"/>
                <w:szCs w:val="18"/>
              </w:rPr>
            </w:pPr>
          </w:p>
          <w:p w14:paraId="539140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0" w:firstLineChars="200"/>
              <w:textAlignment w:val="auto"/>
              <w:rPr>
                <w:rFonts w:hint="eastAsia" w:ascii="宋体" w:hAnsi="宋体" w:eastAsia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>指出标准项目涉及的方面，期望解决的问题；</w:t>
            </w:r>
          </w:p>
          <w:p w14:paraId="4D3BD7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1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一、政策与行业发展背景</w:t>
            </w:r>
          </w:p>
          <w:p w14:paraId="53197B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0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为贯彻落实新时代住房高质量发展要求，积极响应人民群众对美好生活的向往，住房和城乡建设部于2024年明确提出建设“好房子”的重要理念，其核心是打造具有安全、舒适、绿色、智慧等综合品质的住房。优质建筑装饰装修材料是实现这一目标的重要物质基础。墙面涂装材料作为装饰装修领域应用广泛的材料之一，其质量与性能直接影响居住环境的健康性、安全性和可持续性。</w:t>
            </w:r>
          </w:p>
          <w:p w14:paraId="761B5E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1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二、行业现状与存在问题</w:t>
            </w:r>
          </w:p>
          <w:p w14:paraId="3E1E94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0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目前，墙面用装饰涂料行业虽发展迅速，产品种类日益丰富，但仍存在以下突出问题：</w:t>
            </w:r>
          </w:p>
          <w:p w14:paraId="6423B6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1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评价体系不完善：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现有标准多局限于材料的单一性能（如抗菌性等），缺乏针对“好材料”系统化、多维度综合评价的标准，导致健康、环保、功能等关键属性无法科学衡量。</w:t>
            </w:r>
          </w:p>
          <w:p w14:paraId="6A0F03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1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环境污染隐患：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部分涂料在生产或使用过程中仍可能释放有害物质，对室内空气质量造成影响，与绿色建筑和健康人居的要求不相适应。</w:t>
            </w:r>
          </w:p>
          <w:p w14:paraId="333466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1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新型材料无标可依：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随着科技进步，具有健康功能（如抗菌、调湿、净化空气等）的新型墙面装饰涂料不断涌现，但缺乏相应的评价依据，制约其推广与规范应用。</w:t>
            </w:r>
          </w:p>
          <w:p w14:paraId="00C84F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1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行业导向不清晰：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市场上产品性能参差不齐，消费者难以辨别高品质产品，企业研发与生产也缺乏明确的高质量发展指引。</w:t>
            </w:r>
          </w:p>
          <w:p w14:paraId="353E7E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1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三、标准制定的必要性与意义</w:t>
            </w:r>
          </w:p>
          <w:p w14:paraId="00F92E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制定《好材料选材细则 墙面用装饰涂料》标准，旨在响应国家政策导向与行业升级需求，具体意义如下：</w:t>
            </w:r>
          </w:p>
          <w:p w14:paraId="7FC31C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1、填补标准空白，完善体系</w:t>
            </w:r>
          </w:p>
          <w:p w14:paraId="1BCB4F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围绕《好材料选材通则》整体框架，构建针对墙面涂装材料的专项评价标准，明确其术语定义、指标体系、评价方法与等级划分，形成覆盖全面、指标系统的评价规范，弥补当前行业在该领域标准化建设的不足。目前，国内关于墙面涂装材料的标准主要集中在材料本身的质量检测（如GB 18582-2020《室内装饰装修材料 内墙涂料中有害物质限量》），缺乏专门针对选材环节的系统细则，导致选材工作缺乏明确依据。</w:t>
            </w:r>
          </w:p>
          <w:p w14:paraId="0FAEF1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2、树立科学导向，推动品质提升</w:t>
            </w:r>
          </w:p>
          <w:p w14:paraId="65830A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通过设立健康环保性、健康功能性、安全性能、绿色性能及优质功能性等多维指标，明确“好材料”应兼具基础性能与环境改善功能，为产品研发、生产与选材提供清晰、先进的技术指引。</w:t>
            </w:r>
          </w:p>
          <w:p w14:paraId="3721E4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3、引导行业升级，促进健康发展</w:t>
            </w:r>
          </w:p>
          <w:p w14:paraId="43C8C9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通过标准的实施，推动企业主动向绿色、健康、高性能方向转型，加速产业技术革新与产品结构优化，提升行业整体竞争力，支撑建筑装饰装修领域的高质量发展。</w:t>
            </w:r>
          </w:p>
          <w:p w14:paraId="1F1849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4、保障消费者权益，增强市场信心</w:t>
            </w:r>
          </w:p>
          <w:p w14:paraId="2FFE89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为建设单位、设计方及消费者提供权威、可信的选材依据，帮助识别真正符合“好房子”理念的优质涂料，促进绿色健康消费，营造更安全、更舒适的居住环境。</w:t>
            </w:r>
          </w:p>
          <w:p w14:paraId="6BF2A5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</w:p>
        </w:tc>
      </w:tr>
      <w:tr w14:paraId="78B3E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2167" w:type="dxa"/>
            <w:vAlign w:val="center"/>
          </w:tcPr>
          <w:p w14:paraId="2016E5C4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范围和主要</w:t>
            </w:r>
          </w:p>
          <w:p w14:paraId="7787D5AE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技术内容</w:t>
            </w:r>
          </w:p>
        </w:tc>
        <w:tc>
          <w:tcPr>
            <w:tcW w:w="7573" w:type="dxa"/>
            <w:gridSpan w:val="8"/>
            <w:vAlign w:val="center"/>
          </w:tcPr>
          <w:p w14:paraId="2C2F733B">
            <w:pPr>
              <w:snapToGrid w:val="0"/>
              <w:spacing w:line="360" w:lineRule="auto"/>
              <w:ind w:firstLine="360" w:firstLineChars="200"/>
              <w:rPr>
                <w:rFonts w:hint="eastAsia" w:ascii="宋体" w:hAnsi="宋体" w:eastAsia="宋体"/>
                <w:sz w:val="18"/>
                <w:szCs w:val="18"/>
                <w:u w:val="single"/>
              </w:rPr>
            </w:pPr>
          </w:p>
          <w:p w14:paraId="15FE3369">
            <w:pPr>
              <w:snapToGrid w:val="0"/>
              <w:spacing w:line="360" w:lineRule="auto"/>
              <w:ind w:firstLine="360" w:firstLineChars="200"/>
              <w:rPr>
                <w:rFonts w:hint="eastAsia" w:ascii="宋体" w:hAnsi="宋体" w:eastAsia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>标准的技术内容与适用范围；</w:t>
            </w:r>
          </w:p>
          <w:p w14:paraId="500A0C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360" w:firstLineChars="200"/>
              <w:textAlignment w:val="auto"/>
              <w:rPr>
                <w:rFonts w:hint="eastAsia" w:ascii="宋体" w:hAnsi="宋体" w:eastAsia="宋体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/>
                <w:sz w:val="18"/>
                <w:szCs w:val="18"/>
                <w:u w:val="none"/>
              </w:rPr>
              <w:t>本文件规定了好材料选材细则 墙面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  <w:lang w:val="en-US" w:eastAsia="zh-CN"/>
              </w:rPr>
              <w:t>用装饰涂料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</w:rPr>
              <w:t>的术语与定义、基本要求、评价指标与计分原则、场景化附加要求、评价方法、等级划分及验证规则。</w:t>
            </w:r>
          </w:p>
          <w:p w14:paraId="52367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360" w:firstLineChars="200"/>
              <w:textAlignment w:val="auto"/>
              <w:rPr>
                <w:rFonts w:hint="eastAsia" w:ascii="宋体" w:hAnsi="宋体" w:eastAsia="宋体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/>
                <w:sz w:val="18"/>
                <w:szCs w:val="18"/>
                <w:u w:val="none"/>
              </w:rPr>
              <w:t>本文件适用于室内合成树脂乳液涂料、艺术涂料、无机涂料等墙面涂装材料在健康、安全、绿色、优质性能方面的综合评价。本文件不适用于室外涂料及防火专项涂料。</w:t>
            </w:r>
          </w:p>
          <w:p w14:paraId="03B97B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360" w:firstLineChars="200"/>
              <w:textAlignment w:val="auto"/>
              <w:rPr>
                <w:rFonts w:hint="eastAsia" w:ascii="宋体" w:hAnsi="宋体" w:eastAsia="宋体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/>
                <w:sz w:val="18"/>
                <w:szCs w:val="18"/>
                <w:u w:val="none"/>
              </w:rPr>
              <w:t>技术内容包括：基本要求、评价指标（健康环保性、健康功能性、安全性能、绿色性能、优质性能）与计分原则、场景化附加要求、评价方法、等级划分及验证规则等。</w:t>
            </w:r>
          </w:p>
          <w:p w14:paraId="5BC7E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360" w:firstLineChars="200"/>
              <w:textAlignment w:val="auto"/>
              <w:rPr>
                <w:rFonts w:hint="eastAsia" w:ascii="宋体" w:hAnsi="宋体" w:eastAsia="宋体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/>
                <w:sz w:val="18"/>
                <w:szCs w:val="18"/>
                <w:u w:val="none"/>
              </w:rPr>
              <w:t>在健康指标方面，涵盖两方面的健康规定，包括健康环保性以及健康功能性，健康环保性包括甲醛释放量、TVOC释放量、苯、甲苯、二甲苯释放量、重金属元素含量、放射性等指标要求。健康功能性包括甲醛净化性能、抗菌性能、防霉性能、抗病毒性能、调湿性能、隔声降噪等指标要求。</w:t>
            </w:r>
          </w:p>
          <w:p w14:paraId="66757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360" w:firstLineChars="200"/>
              <w:textAlignment w:val="auto"/>
              <w:rPr>
                <w:rFonts w:hint="eastAsia" w:ascii="宋体" w:hAnsi="宋体" w:eastAsia="宋体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/>
                <w:sz w:val="18"/>
                <w:szCs w:val="18"/>
                <w:u w:val="none"/>
              </w:rPr>
              <w:t>在安全性要求方面，考虑设定材料燃烧性指标要求。</w:t>
            </w:r>
          </w:p>
          <w:p w14:paraId="792BAF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360" w:firstLineChars="200"/>
              <w:textAlignment w:val="auto"/>
              <w:rPr>
                <w:rFonts w:hint="eastAsia" w:ascii="宋体" w:hAnsi="宋体" w:eastAsia="宋体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/>
                <w:sz w:val="18"/>
                <w:szCs w:val="18"/>
                <w:u w:val="none"/>
              </w:rPr>
              <w:t>在绿色性能方面，规定利用废弃物、再生循环性能、资源能源节约型、废水/废气排放合规性、碳足迹指标体系。</w:t>
            </w:r>
          </w:p>
          <w:p w14:paraId="6AF8B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360" w:firstLineChars="200"/>
              <w:textAlignment w:val="auto"/>
              <w:rPr>
                <w:rFonts w:hint="eastAsia" w:ascii="宋体" w:hAnsi="宋体" w:eastAsia="宋体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/>
                <w:sz w:val="18"/>
                <w:szCs w:val="18"/>
                <w:u w:val="none"/>
              </w:rPr>
              <w:t>在优质性能方面，设定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  <w:lang w:val="en-US" w:eastAsia="zh-CN"/>
              </w:rPr>
              <w:t>耐洗刷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</w:rPr>
              <w:t>、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  <w:lang w:val="en-US" w:eastAsia="zh-CN"/>
              </w:rPr>
              <w:t>耐沾污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</w:rPr>
              <w:t>性、耐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  <w:lang w:val="en-US" w:eastAsia="zh-CN"/>
              </w:rPr>
              <w:t>老化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</w:rPr>
              <w:t>、施工宽容度等指标要求。</w:t>
            </w:r>
          </w:p>
          <w:p w14:paraId="0F905F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360" w:firstLineChars="200"/>
              <w:textAlignment w:val="auto"/>
              <w:rPr>
                <w:rFonts w:hint="eastAsia" w:ascii="宋体" w:hAnsi="宋体" w:eastAsia="宋体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u w:val="none"/>
                <w:lang w:val="en-US" w:eastAsia="zh-CN"/>
              </w:rPr>
              <w:t>此外，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</w:rPr>
              <w:t>规定了特定场景化的附加产品指标要求。提出评价方法与判定公式，进行等级划分，提出验证规则等条款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  <w:lang w:eastAsia="zh-CN"/>
              </w:rPr>
              <w:t>。</w:t>
            </w:r>
          </w:p>
          <w:p w14:paraId="23024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360" w:firstLineChars="200"/>
              <w:textAlignment w:val="auto"/>
              <w:rPr>
                <w:rFonts w:hint="eastAsia" w:ascii="宋体" w:hAnsi="宋体" w:eastAsia="宋体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35163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  <w:jc w:val="center"/>
        </w:trPr>
        <w:tc>
          <w:tcPr>
            <w:tcW w:w="2167" w:type="dxa"/>
            <w:vAlign w:val="center"/>
          </w:tcPr>
          <w:p w14:paraId="7D419C19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国内外情况</w:t>
            </w:r>
          </w:p>
          <w:p w14:paraId="091F2DE0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简要说明</w:t>
            </w:r>
          </w:p>
        </w:tc>
        <w:tc>
          <w:tcPr>
            <w:tcW w:w="7573" w:type="dxa"/>
            <w:gridSpan w:val="8"/>
            <w:vAlign w:val="center"/>
          </w:tcPr>
          <w:p w14:paraId="27686E47">
            <w:pPr>
              <w:numPr>
                <w:ilvl w:val="0"/>
                <w:numId w:val="1"/>
              </w:numPr>
              <w:snapToGrid w:val="0"/>
              <w:spacing w:line="360" w:lineRule="auto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>国内外对该技术研究情况简要说明：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国内外对该技术研究情况、进程及未来的发展；该技术是否相对稳定，如果不是的话，预计一下技术未来稳定的时间，提出的标准项目是否可作为未来技术发展的基础；</w:t>
            </w:r>
          </w:p>
          <w:p w14:paraId="35694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1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</w:rPr>
              <w:t>国内外技术研究现状与进程</w:t>
            </w:r>
          </w:p>
          <w:p w14:paraId="46B48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当前，国内外在“好材料”选材评价体系上的研究正沿着不同的路径深化，总体趋势是从单一环保指标向全生命周期、多维度综合性能评价发展。</w:t>
            </w:r>
          </w:p>
          <w:p w14:paraId="39FFF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在装饰装修好材料领域，当前中国标准体系不断升级与引领国际，多维度的环保健康标准体系不断完善，绿色低碳建材技术不断突破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与转型，碳足迹核算逐渐得到重视，相关政策驱动技术发展落地。未来，建立好材料评价标准是好材料健康发展的前提。具体如下：</w:t>
            </w:r>
          </w:p>
          <w:p w14:paraId="755D7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①国内：系统性标准构建与市场引导</w:t>
            </w:r>
          </w:p>
          <w:p w14:paraId="0F6550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中国的核心进展是发布了纲领性的《好材料选材通则》，这标志着选材评价从分散的产品标准迈向系统化。该标准构建了 “健康、安全、绿色、优质” 四大维度的综合评价指标体系，首次将选材原则、分级规则与标识要求统一。</w:t>
            </w:r>
          </w:p>
          <w:p w14:paraId="3CA59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分级引领：创新性地设立了 AAA、AAAA、AAAAA三级评价等级，旨在区分产品水平（如仅约5%的材料可达最高的5A级），为市场提供清晰的高品质指引。该标准的出台与国家“好房子”建设及绿色建材下乡等政策紧密协同，旨在通过标准升级牵引产业高质量发展和消费升级。</w:t>
            </w:r>
          </w:p>
          <w:p w14:paraId="588F9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②国外：法规驱动与高性能细分</w:t>
            </w:r>
          </w:p>
          <w:p w14:paraId="0E4FE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国外墙面涂装材料技术研究聚焦于环保化、功能化、精细化三大方向，且形成了完善的标准体系与选材规范。在环保领域，欧盟、德国等地区实施严格的环保法规，如德国REACH法规、蓝天使标准，对墙面涂装材料的VOC、SVOC、游离甲醛等有害物质限量要求极为严格，同时规范环保申明的表述与阈值，推动低释放、无溶剂型材料成为市场主流。在性能研究方面，德国通过DIN EN 1602-1等标准，对墙面涂料的干膜厚度、水蒸气透过率、裂缝桥架能力等指标进行分级，结合不同气候应力与应用场景划分使用区域，形成精准的选材适配体系，其质感砂浆+外墙涂料罩面的涂装体系，因防水透汽、易翻新等优势占据主导地位，替代了传统真石漆体系。。</w:t>
            </w:r>
          </w:p>
          <w:p w14:paraId="7F5B6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目前，以《好材料选材通则》为代表的选材评价框架技术已基本稳定。其提出的四大维度与分级体系，源于对国内外现有标准和技术趋势的整合提炼，核心逻辑经受住了验证。然而，该领域技术仍处于动态发展期，稳定和成熟将是一个渐进过程，《好材料选材通则》等标准项目，完全有能力且正在成为未来技术发展的关键基础。</w:t>
            </w:r>
          </w:p>
          <w:p w14:paraId="6A161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③针对本标准《好材料选材细则 墙面用装饰涂料》研究，其核心是建立一套专门用于评价和选择高品质、绿色健康墙面涂装材料的详细规则。当前国内外在此领域的进展，虽未形成名为“好材料选材细则”的统一文件，但其核心思想和具体要求，已分散体现在各类产品标准、绿色认证和前沿研究中。</w:t>
            </w:r>
          </w:p>
          <w:p w14:paraId="4F720543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下面的分析将聚焦于本标准应重点关注的几类具体性能指标，梳理其国内外发展现状，为项目研究提供参考。如下：</w:t>
            </w:r>
          </w:p>
          <w:p w14:paraId="49AB8158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1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  <w:lang w:val="en-US" w:eastAsia="zh-CN"/>
              </w:rPr>
              <w:t>※ 环保与健康性能</w:t>
            </w:r>
          </w:p>
          <w:p w14:paraId="67EBD9DF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这是当前国内外标准升级最核心的领域，已从单一的甲醛管控扩展到多污染物的全面限制。</w:t>
            </w:r>
          </w:p>
          <w:p w14:paraId="03207450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 xml:space="preserve">国内现状：以 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GB 18582-2020《室内装饰装修材料 内墙涂料中有害物质限量》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 xml:space="preserve"> 为引领，对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内墙涂料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的甲醛含量、VOC含量、可溶性重金属含量等限值也大幅加严。检测方法与国际主流接轨。</w:t>
            </w:r>
          </w:p>
          <w:p w14:paraId="25618B7A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国际趋势：，欧盟、德国等地区实施严格的环保法规，如德国REACH法规、蓝天使标准，对墙面涂装材料的VOC、SVOC、游离甲醛等有害物质限量要求极为严格，同时规范环保申明的表述与阈值，推动低释放、无溶剂型材料成为市场主流。</w:t>
            </w:r>
          </w:p>
          <w:p w14:paraId="4FA04C55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1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  <w:lang w:val="en-US" w:eastAsia="zh-CN"/>
              </w:rPr>
              <w:t>※ 优质性能</w:t>
            </w:r>
          </w:p>
          <w:p w14:paraId="65FDEB3D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这类指标相对成熟稳定，但“好材料”标准需在国标基础上提出更高要求。</w:t>
            </w:r>
          </w:p>
          <w:p w14:paraId="0B331696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核心指标：包括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  <w:lang w:val="en-US" w:eastAsia="zh-CN"/>
              </w:rPr>
              <w:t>耐洗刷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</w:rPr>
              <w:t>、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  <w:lang w:val="en-US" w:eastAsia="zh-CN"/>
              </w:rPr>
              <w:t>耐沾污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</w:rPr>
              <w:t>性、耐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  <w:lang w:val="en-US" w:eastAsia="zh-CN"/>
              </w:rPr>
              <w:t>老化</w:t>
            </w:r>
            <w:r>
              <w:rPr>
                <w:rFonts w:hint="eastAsia" w:ascii="宋体" w:hAnsi="宋体" w:eastAsia="宋体"/>
                <w:sz w:val="18"/>
                <w:szCs w:val="18"/>
                <w:u w:val="none"/>
              </w:rPr>
              <w:t>、施工宽容度等指标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等。</w:t>
            </w:r>
          </w:p>
          <w:p w14:paraId="733807A9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现状：各国均有相应的产品国标规定基础要求。但作为“选材细则”，项目研究可参考欧美高端市场或专业工程标准，设定更高等级的“优质”门槛。</w:t>
            </w:r>
          </w:p>
          <w:p w14:paraId="27BDEBC5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1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  <w:lang w:val="en-US" w:eastAsia="zh-CN"/>
              </w:rPr>
              <w:t>※ 防火安全性能</w:t>
            </w:r>
          </w:p>
          <w:p w14:paraId="1EFCBB26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这是墙面材料的强制性安全底线。国内：严格遵循 《GB 8624-2012 建筑材料及制品燃烧性能分级》 （A、B1、B2、B3级）。公共建筑及高层住宅对墙面材料的燃烧性能等级（通常要求B1级以上）有明确法规要求。</w:t>
            </w:r>
          </w:p>
          <w:p w14:paraId="4E4DF49E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u w:val="none"/>
                <w:lang w:val="en-US" w:eastAsia="zh-CN"/>
              </w:rPr>
              <w:t>国际：欧盟EN 13501-1标准是主流，其测试方法和分级（A1, A2, B, C, D, E, F）更为细致，尤其对产烟量和燃烧滴落物有附加分级（s1, s2, s3; d0, d1, d2）。“选材细则”可考虑引入或对标这些更细致的分级维度，以适应高端和出口需求。</w:t>
            </w:r>
          </w:p>
          <w:p w14:paraId="71691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1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</w:rPr>
              <w:t>技术稳定性与未来成熟期预测</w:t>
            </w:r>
          </w:p>
          <w:p w14:paraId="7947A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val="en-US" w:eastAsia="zh-CN"/>
              </w:rPr>
              <w:t>涉及相关技术基本稳定，比如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none"/>
              </w:rPr>
              <w:t>核心指标：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涂料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  <w:t>甲醛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含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  <w:t>量（≤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  <w:t>mg/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kg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  <w:t>）、VOC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含量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  <w:t>（≤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 xml:space="preserve">80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  <w:t>g/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L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  <w:t>）等环保标准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以及健康功能指标（抗菌性、防霉性等）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eastAsia="zh-CN"/>
              </w:rPr>
              <w:t>已通过3年实验室验证与工程跟踪，数据波动率＜5%，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且相关产品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  <w:t>技术路线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如三棵树涂料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  <w:t>成熟。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相关碳足迹评价体系逐步完善，智能化技术不断跟进。</w:t>
            </w:r>
          </w:p>
          <w:p w14:paraId="2FEE1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val="en-US" w:eastAsia="zh-CN"/>
              </w:rPr>
              <w:t>预计未来5年，标准在头部企业覆盖率超80%，检测方法统一性达90%；未来10年：星级标识市场认知率突破60%，带动再生材料成本下降30%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none"/>
              </w:rPr>
              <w:t>。</w:t>
            </w:r>
          </w:p>
          <w:p w14:paraId="4FECB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1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u w:val="none"/>
              </w:rPr>
              <w:t>标准作为技术发展基础的前景</w:t>
            </w:r>
          </w:p>
          <w:p w14:paraId="645A3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u w:val="none"/>
              </w:rPr>
              <w:t>标准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  <w:t>“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  <w:t>维评价体系”（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健康、安全、绿色、优质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  <w:t xml:space="preserve">）与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创新提出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  <w:t>“场景化指标”（如医疗空间抗菌率≥99%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地下空间防霉性能0级等强制指标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  <w:t>），为技术迭代提供明确框架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none"/>
              </w:rPr>
              <w:t>：</w:t>
            </w:r>
          </w:p>
          <w:p w14:paraId="7BDEE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 w:cs="宋体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val="en-US" w:eastAsia="zh-CN"/>
              </w:rPr>
              <w:t>牵引创新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eastAsia="zh-CN"/>
              </w:rPr>
              <w:t>：通过分级指标（如VOC≤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val="en-US" w:eastAsia="zh-CN"/>
              </w:rPr>
              <w:t>80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eastAsia="zh-CN"/>
              </w:rPr>
              <w:t>g/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val="en-US" w:eastAsia="zh-CN"/>
              </w:rPr>
              <w:t>L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eastAsia="zh-CN"/>
              </w:rPr>
              <w:t>、无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val="en-US" w:eastAsia="zh-CN"/>
              </w:rPr>
              <w:t>有机溶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eastAsia="zh-CN"/>
              </w:rPr>
              <w:t>剂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val="en-US" w:eastAsia="zh-CN"/>
              </w:rPr>
              <w:t>型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eastAsia="zh-CN"/>
              </w:rPr>
              <w:t>）倒逼环保工艺革新，推动低毒材料研发。</w:t>
            </w:r>
          </w:p>
          <w:p w14:paraId="7A81E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60" w:firstLineChars="200"/>
              <w:textAlignment w:val="auto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val="en-US" w:eastAsia="zh-CN"/>
              </w:rPr>
              <w:t>重塑市场：星级标识为优质产品提供权威背书，引导千亿级消费市场向健康化、绿色化、低碳化、优质化转型。</w:t>
            </w:r>
          </w:p>
          <w:p w14:paraId="45C3C6FD">
            <w:pPr>
              <w:numPr>
                <w:ilvl w:val="0"/>
                <w:numId w:val="1"/>
              </w:numPr>
              <w:snapToGrid w:val="0"/>
              <w:spacing w:line="360" w:lineRule="auto"/>
              <w:ind w:left="0" w:leftChars="0" w:firstLine="0" w:firstLineChars="0"/>
              <w:rPr>
                <w:rFonts w:hint="eastAsia" w:ascii="宋体" w:hAnsi="宋体" w:eastAsia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>项目与国际标准或国外先进标准采用程度的考虑：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该标准项目是否有对应的国际标准或国外先进标</w:t>
            </w:r>
            <w:r>
              <w:rPr>
                <w:rFonts w:hint="eastAsia" w:ascii="宋体" w:hAnsi="宋体" w:eastAsia="宋体"/>
                <w:color w:val="auto"/>
                <w:sz w:val="18"/>
                <w:szCs w:val="18"/>
              </w:rPr>
              <w:t>准，标准制定过程中如何考虑采用的问题；</w:t>
            </w:r>
          </w:p>
          <w:p w14:paraId="128DD1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Chars="0" w:firstLine="360" w:firstLineChars="200"/>
              <w:textAlignment w:val="auto"/>
              <w:rPr>
                <w:rFonts w:hint="default" w:ascii="宋体" w:hAnsi="宋体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lang w:val="en-US" w:eastAsia="zh-CN"/>
              </w:rPr>
              <w:t>经查，该标准没有对应的国际标准，故本项目不涉及采用国际或国外先进标准的问题。。</w:t>
            </w:r>
          </w:p>
          <w:p w14:paraId="73C4210E">
            <w:pPr>
              <w:numPr>
                <w:ilvl w:val="0"/>
                <w:numId w:val="1"/>
              </w:numPr>
              <w:snapToGrid w:val="0"/>
              <w:spacing w:line="360" w:lineRule="auto"/>
              <w:ind w:left="0" w:leftChars="0" w:firstLine="0" w:firstLineChars="0"/>
              <w:rPr>
                <w:rFonts w:hint="eastAsia" w:ascii="宋体" w:hAnsi="宋体" w:eastAsia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u w:val="single"/>
              </w:rPr>
              <w:t>与国内相关标准间的关系：</w:t>
            </w:r>
            <w:r>
              <w:rPr>
                <w:rFonts w:hint="eastAsia" w:ascii="宋体" w:hAnsi="宋体" w:eastAsia="宋体"/>
                <w:color w:val="auto"/>
                <w:sz w:val="18"/>
                <w:szCs w:val="18"/>
              </w:rPr>
              <w:t>该标准项目是否有相关的国家或行业标准，该标准项目与这些标准是什么关系，该标准项目在标准体系中的位置；</w:t>
            </w:r>
          </w:p>
          <w:p w14:paraId="4B2167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Chars="0" w:firstLine="360" w:firstLineChars="200"/>
              <w:textAlignment w:val="auto"/>
              <w:rPr>
                <w:rFonts w:hint="eastAsia" w:ascii="宋体" w:hAnsi="宋体" w:eastAsia="宋体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本项目旨在填补“好材料选材细则 墙面用装饰涂料”标准空白。它与《室内装饰装修材料有害物质限量》系列强制性标准（GB 18580-18588、GB 6566等）以及各类产品性能标准形成补充与完善的关系。</w:t>
            </w:r>
          </w:p>
          <w:p w14:paraId="2A1E5F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Chars="0" w:firstLine="360" w:firstLineChars="200"/>
              <w:textAlignment w:val="auto"/>
              <w:rPr>
                <w:rFonts w:hint="default" w:ascii="宋体" w:hAnsi="宋体" w:eastAsia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本体系在标准体系中的位置属于“建筑装饰装修材料”大类下的基础通用标准，是提升行业质量、引导绿色健康发展的关键环节。</w:t>
            </w:r>
          </w:p>
          <w:p w14:paraId="5C00DCD2">
            <w:pPr>
              <w:numPr>
                <w:ilvl w:val="0"/>
                <w:numId w:val="1"/>
              </w:numPr>
              <w:snapToGrid w:val="0"/>
              <w:spacing w:line="360" w:lineRule="auto"/>
              <w:ind w:left="0" w:leftChars="0" w:firstLine="0" w:firstLineChars="0"/>
              <w:rPr>
                <w:rFonts w:hint="eastAsia" w:ascii="宋体" w:hAnsi="宋体" w:eastAsia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 w:eastAsia="宋体"/>
                <w:sz w:val="18"/>
                <w:szCs w:val="18"/>
                <w:u w:val="single"/>
              </w:rPr>
              <w:t>指出是否发现有知识产权的问题。</w:t>
            </w:r>
          </w:p>
          <w:p w14:paraId="2B6AE3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Chars="0" w:firstLine="360" w:firstLineChars="200"/>
              <w:textAlignment w:val="auto"/>
              <w:rPr>
                <w:rFonts w:hint="eastAsia" w:ascii="宋体" w:hAnsi="宋体" w:eastAsia="宋体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u w:val="none"/>
                <w:lang w:val="en-US" w:eastAsia="zh-CN"/>
              </w:rPr>
              <w:t>经查阅不涉及专利。</w:t>
            </w:r>
          </w:p>
          <w:p w14:paraId="75D11D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Chars="0" w:firstLine="360" w:firstLineChars="200"/>
              <w:textAlignment w:val="auto"/>
              <w:rPr>
                <w:rFonts w:hint="eastAsia" w:ascii="宋体" w:hAnsi="宋体" w:eastAsia="宋体"/>
                <w:sz w:val="18"/>
                <w:szCs w:val="18"/>
                <w:u w:val="none"/>
                <w:lang w:val="en-US" w:eastAsia="zh-CN"/>
              </w:rPr>
            </w:pPr>
          </w:p>
          <w:p w14:paraId="61AFC9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Chars="0" w:firstLine="360" w:firstLineChars="200"/>
              <w:textAlignment w:val="auto"/>
              <w:rPr>
                <w:rFonts w:hint="default" w:ascii="宋体" w:hAnsi="宋体" w:eastAsia="宋体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0267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2" w:hRule="atLeast"/>
          <w:jc w:val="center"/>
        </w:trPr>
        <w:tc>
          <w:tcPr>
            <w:tcW w:w="2167" w:type="dxa"/>
            <w:vAlign w:val="center"/>
          </w:tcPr>
          <w:p w14:paraId="246FFCDC">
            <w:pPr>
              <w:pStyle w:val="5"/>
              <w:tabs>
                <w:tab w:val="clear" w:pos="4153"/>
                <w:tab w:val="clear" w:pos="8306"/>
              </w:tabs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牵头单位</w:t>
            </w:r>
          </w:p>
        </w:tc>
        <w:tc>
          <w:tcPr>
            <w:tcW w:w="3972" w:type="dxa"/>
            <w:gridSpan w:val="5"/>
            <w:vAlign w:val="center"/>
          </w:tcPr>
          <w:p w14:paraId="18971973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  <w:p w14:paraId="62674B69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（签字、盖公章）月     日</w:t>
            </w:r>
          </w:p>
        </w:tc>
        <w:tc>
          <w:tcPr>
            <w:tcW w:w="1701" w:type="dxa"/>
            <w:gridSpan w:val="2"/>
            <w:vAlign w:val="center"/>
          </w:tcPr>
          <w:p w14:paraId="182AB16E"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归口管理部门</w:t>
            </w:r>
          </w:p>
        </w:tc>
        <w:tc>
          <w:tcPr>
            <w:tcW w:w="1900" w:type="dxa"/>
            <w:vAlign w:val="center"/>
          </w:tcPr>
          <w:p w14:paraId="6A125936">
            <w:pPr>
              <w:snapToGrid w:val="0"/>
              <w:spacing w:line="360" w:lineRule="auto"/>
              <w:rPr>
                <w:rFonts w:ascii="宋体" w:hAnsi="宋体" w:eastAsia="宋体"/>
                <w:sz w:val="18"/>
                <w:szCs w:val="18"/>
              </w:rPr>
            </w:pPr>
          </w:p>
          <w:p w14:paraId="79A663D1">
            <w:pPr>
              <w:snapToGrid w:val="0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（签字、盖公章）</w:t>
            </w:r>
          </w:p>
          <w:p w14:paraId="64E6BA93">
            <w:pPr>
              <w:snapToGrid w:val="0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 xml:space="preserve">    月     日</w:t>
            </w:r>
          </w:p>
        </w:tc>
      </w:tr>
    </w:tbl>
    <w:p w14:paraId="7A5CB49F">
      <w:pPr>
        <w:snapToGrid w:val="0"/>
        <w:spacing w:beforeLines="50"/>
        <w:ind w:firstLine="503" w:firstLineChars="280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注1</w:t>
      </w:r>
      <w:r>
        <w:rPr>
          <w:rFonts w:ascii="宋体" w:hAnsi="宋体" w:eastAsia="宋体"/>
          <w:sz w:val="18"/>
          <w:szCs w:val="18"/>
        </w:rPr>
        <w:t xml:space="preserve">] </w:t>
      </w:r>
      <w:r>
        <w:rPr>
          <w:rFonts w:hint="eastAsia" w:ascii="宋体" w:hAnsi="宋体" w:eastAsia="宋体"/>
          <w:sz w:val="18"/>
          <w:szCs w:val="18"/>
        </w:rPr>
        <w:t xml:space="preserve"> 填写制定或修订项目中，若选择修订必须填写被修订标准号；</w:t>
      </w:r>
    </w:p>
    <w:p w14:paraId="65BFAE09">
      <w:pPr>
        <w:snapToGrid w:val="0"/>
        <w:ind w:firstLine="503" w:firstLineChars="280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注2</w:t>
      </w:r>
      <w:r>
        <w:rPr>
          <w:rFonts w:ascii="宋体" w:hAnsi="宋体" w:eastAsia="宋体"/>
          <w:sz w:val="18"/>
          <w:szCs w:val="18"/>
        </w:rPr>
        <w:t>]</w:t>
      </w:r>
      <w:r>
        <w:rPr>
          <w:rFonts w:hint="eastAsia" w:ascii="宋体" w:hAnsi="宋体" w:eastAsia="宋体"/>
          <w:sz w:val="18"/>
          <w:szCs w:val="18"/>
        </w:rPr>
        <w:t xml:space="preserve">  选择采用国际标准，必须填写采标号及采用程度；</w:t>
      </w:r>
    </w:p>
    <w:p w14:paraId="67C3A64D">
      <w:pPr>
        <w:snapToGrid w:val="0"/>
        <w:ind w:left="448" w:leftChars="160" w:firstLine="54" w:firstLineChars="30"/>
        <w:rPr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注3</w:t>
      </w:r>
      <w:r>
        <w:rPr>
          <w:rFonts w:ascii="宋体" w:hAnsi="宋体" w:eastAsia="宋体"/>
          <w:sz w:val="18"/>
          <w:szCs w:val="18"/>
        </w:rPr>
        <w:t>]</w:t>
      </w:r>
      <w:r>
        <w:rPr>
          <w:rFonts w:hint="eastAsia" w:ascii="宋体" w:hAnsi="宋体" w:eastAsia="宋体"/>
          <w:sz w:val="18"/>
          <w:szCs w:val="18"/>
        </w:rPr>
        <w:t xml:space="preserve">  选择采用快速程序，必须填写快速程序代码。</w:t>
      </w:r>
    </w:p>
    <w:p w14:paraId="744BA66C">
      <w:pPr>
        <w:snapToGrid w:val="0"/>
        <w:rPr>
          <w:sz w:val="18"/>
          <w:szCs w:val="18"/>
        </w:rPr>
      </w:pPr>
    </w:p>
    <w:p w14:paraId="66926D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701661"/>
    <w:multiLevelType w:val="singleLevel"/>
    <w:tmpl w:val="0C70166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499"/>
    <w:rsid w:val="00314295"/>
    <w:rsid w:val="00631028"/>
    <w:rsid w:val="00747499"/>
    <w:rsid w:val="00A618D0"/>
    <w:rsid w:val="00E03E1D"/>
    <w:rsid w:val="00F7264B"/>
    <w:rsid w:val="04041965"/>
    <w:rsid w:val="07A22BB8"/>
    <w:rsid w:val="086C5D2B"/>
    <w:rsid w:val="0F9D2C6D"/>
    <w:rsid w:val="0FB8533B"/>
    <w:rsid w:val="164B5527"/>
    <w:rsid w:val="17835CBE"/>
    <w:rsid w:val="1C224C26"/>
    <w:rsid w:val="29325D7D"/>
    <w:rsid w:val="29F85218"/>
    <w:rsid w:val="31083F93"/>
    <w:rsid w:val="33DF45BF"/>
    <w:rsid w:val="38BD49C5"/>
    <w:rsid w:val="39822409"/>
    <w:rsid w:val="39BA4D27"/>
    <w:rsid w:val="3B5953EB"/>
    <w:rsid w:val="3B691AD2"/>
    <w:rsid w:val="43536B83"/>
    <w:rsid w:val="4ABA40F8"/>
    <w:rsid w:val="52461E2B"/>
    <w:rsid w:val="5A0233C6"/>
    <w:rsid w:val="5AFD43A2"/>
    <w:rsid w:val="5B5E462C"/>
    <w:rsid w:val="5E7C6EF9"/>
    <w:rsid w:val="61A11A3C"/>
    <w:rsid w:val="62FB0777"/>
    <w:rsid w:val="6A94006A"/>
    <w:rsid w:val="757D1129"/>
    <w:rsid w:val="768E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ody Text"/>
    <w:basedOn w:val="1"/>
    <w:qFormat/>
    <w:uiPriority w:val="99"/>
    <w:pPr>
      <w:autoSpaceDE w:val="0"/>
      <w:autoSpaceDN w:val="0"/>
      <w:adjustRightInd w:val="0"/>
      <w:ind w:left="118"/>
      <w:jc w:val="left"/>
    </w:pPr>
    <w:rPr>
      <w:rFonts w:ascii="宋体" w:cs="宋体"/>
      <w:kern w:val="0"/>
      <w:szCs w:val="21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sz w:val="24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Char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  <w:style w:type="paragraph" w:customStyle="1" w:styleId="12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4274</Words>
  <Characters>4502</Characters>
  <Lines>4</Lines>
  <Paragraphs>1</Paragraphs>
  <TotalTime>4</TotalTime>
  <ScaleCrop>false</ScaleCrop>
  <LinksUpToDate>false</LinksUpToDate>
  <CharactersWithSpaces>4575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2018-05-31T09:17:00Z</dcterms:created>
  <dc:creator>bz</dc:creator>
  <cp:lastModifiedBy>刘蕊蕊</cp:lastModifiedBy>
  <dcterms:modified xsi:type="dcterms:W3CDTF">2026-03-30T00:53:19Z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eyJoZGlkIjoiZjZlZGU0ZmE0Y2NiMGUzODlkNDViMWNmMzIzYWY2ZjkiLCJ1c2VySWQiOiIxMjY1ODEzNjU2In0=</vt:lpwstr>
  </property>
  <property fmtid="{D5CDD505-2E9C-101B-9397-08002B2CF9AE}" pid="3" name="KSOProductBuildVer">
    <vt:lpwstr>2052-12.1.0.25835</vt:lpwstr>
  </property>
  <property fmtid="{D5CDD505-2E9C-101B-9397-08002B2CF9AE}" pid="4" name="ICV">
    <vt:lpwstr>EECFFF6ADBA1439AB6864F3B45E39E94_13</vt:lpwstr>
  </property>
</Properties>
</file>